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15DB5" w14:paraId="21A44DD3" w14:textId="77777777" w:rsidTr="00C6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auto"/>
          </w:tcPr>
          <w:p w14:paraId="232151BF" w14:textId="77777777" w:rsidR="00915DB5" w:rsidRDefault="00915DB5" w:rsidP="00C62BB7"/>
          <w:p w14:paraId="5049DB83" w14:textId="77777777" w:rsidR="00915DB5" w:rsidRDefault="00915DB5" w:rsidP="00C62BB7"/>
          <w:p w14:paraId="3C77033C" w14:textId="77777777" w:rsidR="00915DB5" w:rsidRDefault="00915DB5" w:rsidP="00C62BB7"/>
          <w:p w14:paraId="3CC3FC0C" w14:textId="77777777" w:rsidR="00915DB5" w:rsidRDefault="00915DB5" w:rsidP="00C62BB7"/>
          <w:p w14:paraId="45A93DBD" w14:textId="77777777" w:rsidR="00915DB5" w:rsidRDefault="00915DB5" w:rsidP="00C62BB7"/>
          <w:p w14:paraId="08B24C49" w14:textId="77777777" w:rsidR="00915DB5" w:rsidRDefault="00915DB5" w:rsidP="00C62BB7"/>
          <w:p w14:paraId="3B255114" w14:textId="77777777" w:rsidR="00915DB5" w:rsidRDefault="00915DB5" w:rsidP="00C62BB7"/>
        </w:tc>
      </w:tr>
    </w:tbl>
    <w:p w14:paraId="3CB2CFBA" w14:textId="75AC8D9B" w:rsidR="000B5C37" w:rsidRPr="000B5C37" w:rsidRDefault="000B5C37" w:rsidP="000B5C3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B5C37">
        <w:rPr>
          <w:rFonts w:ascii="Arial" w:hAnsi="Arial" w:cs="Arial"/>
          <w:b/>
          <w:bCs/>
          <w:sz w:val="36"/>
          <w:szCs w:val="36"/>
        </w:rPr>
        <w:t>BHR ICP Structured Medication Review (SMR) Position Statement</w:t>
      </w:r>
      <w:r w:rsidR="00BA4024">
        <w:rPr>
          <w:rFonts w:ascii="Arial" w:hAnsi="Arial" w:cs="Arial"/>
          <w:b/>
          <w:bCs/>
          <w:sz w:val="36"/>
          <w:szCs w:val="36"/>
        </w:rPr>
        <w:t xml:space="preserve"> 2021/23</w:t>
      </w:r>
    </w:p>
    <w:p w14:paraId="5502E945" w14:textId="77777777" w:rsidR="000B5C37" w:rsidRDefault="000B5C37" w:rsidP="000B5C37">
      <w:pPr>
        <w:rPr>
          <w:rFonts w:ascii="Arial" w:hAnsi="Arial" w:cs="Arial"/>
          <w:b/>
          <w:bCs/>
          <w:sz w:val="24"/>
        </w:rPr>
      </w:pPr>
    </w:p>
    <w:p w14:paraId="32D7EA50" w14:textId="77777777" w:rsidR="000B5C37" w:rsidRDefault="000B5C37" w:rsidP="000B5C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National DES (Directed Enhanced Service) Guidance dated 31.3.21 </w:t>
      </w:r>
      <w:r w:rsidRPr="00CC0708">
        <w:rPr>
          <w:rFonts w:ascii="Arial" w:hAnsi="Arial" w:cs="Arial"/>
          <w:b/>
          <w:bCs/>
          <w:sz w:val="24"/>
        </w:rPr>
        <w:t>requires</w:t>
      </w:r>
      <w:r>
        <w:rPr>
          <w:rFonts w:ascii="Arial" w:hAnsi="Arial" w:cs="Arial"/>
          <w:sz w:val="24"/>
        </w:rPr>
        <w:t xml:space="preserve"> PCNs to agree the number of SMRs (Structured Medication Reviews) to be carried out with their CCG. </w:t>
      </w:r>
    </w:p>
    <w:p w14:paraId="74E1BCC2" w14:textId="77777777" w:rsidR="000B5C37" w:rsidRDefault="000B5C37" w:rsidP="000B5C37">
      <w:pPr>
        <w:rPr>
          <w:rFonts w:ascii="Arial" w:hAnsi="Arial" w:cs="Arial"/>
          <w:sz w:val="24"/>
        </w:rPr>
      </w:pPr>
    </w:p>
    <w:p w14:paraId="2044CD71" w14:textId="5694EC65" w:rsidR="000B5C37" w:rsidRDefault="000B5C37" w:rsidP="000B5C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BHR ICP are recommending 300 SMR</w:t>
      </w:r>
      <w:r w:rsidR="009B30D9">
        <w:rPr>
          <w:rFonts w:ascii="Arial" w:hAnsi="Arial" w:cs="Arial"/>
          <w:sz w:val="24"/>
        </w:rPr>
        <w:t xml:space="preserve"> </w:t>
      </w:r>
      <w:r w:rsidR="00C362A9">
        <w:rPr>
          <w:rFonts w:ascii="Arial" w:hAnsi="Arial" w:cs="Arial"/>
          <w:sz w:val="24"/>
        </w:rPr>
        <w:t xml:space="preserve">for </w:t>
      </w:r>
      <w:r w:rsidR="009B30D9">
        <w:rPr>
          <w:rFonts w:ascii="Arial" w:hAnsi="Arial" w:cs="Arial"/>
          <w:sz w:val="24"/>
        </w:rPr>
        <w:t>each financial year</w:t>
      </w:r>
      <w:r w:rsidR="006713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 Full Time Equivalent (FTE) PCN Clinical Pharmacist, on the following basis:</w:t>
      </w:r>
    </w:p>
    <w:p w14:paraId="5B269DEB" w14:textId="77777777" w:rsidR="000B5C37" w:rsidRDefault="000B5C37" w:rsidP="000B5C37">
      <w:pPr>
        <w:rPr>
          <w:rFonts w:ascii="Arial" w:hAnsi="Arial" w:cs="Arial"/>
          <w:sz w:val="24"/>
        </w:rPr>
      </w:pPr>
    </w:p>
    <w:p w14:paraId="0A8A1B61" w14:textId="7FE2CB69" w:rsidR="000B5C37" w:rsidRPr="00834191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bCs/>
          <w:sz w:val="24"/>
        </w:rPr>
      </w:pPr>
      <w:r w:rsidRPr="00F221D9">
        <w:rPr>
          <w:rFonts w:ascii="Arial" w:hAnsi="Arial" w:cs="Arial"/>
          <w:sz w:val="24"/>
        </w:rPr>
        <w:t xml:space="preserve">The recommendation starts from </w:t>
      </w:r>
      <w:r>
        <w:rPr>
          <w:rFonts w:ascii="Arial" w:hAnsi="Arial" w:cs="Arial"/>
          <w:sz w:val="24"/>
        </w:rPr>
        <w:t>August</w:t>
      </w:r>
      <w:r w:rsidRPr="00F221D9">
        <w:rPr>
          <w:rFonts w:ascii="Arial" w:hAnsi="Arial" w:cs="Arial"/>
          <w:sz w:val="24"/>
        </w:rPr>
        <w:t xml:space="preserve"> 21</w:t>
      </w:r>
      <w:r>
        <w:rPr>
          <w:rFonts w:ascii="Arial" w:hAnsi="Arial" w:cs="Arial"/>
          <w:sz w:val="24"/>
        </w:rPr>
        <w:t xml:space="preserve">. Therefore, </w:t>
      </w:r>
      <w:r w:rsidRPr="00834191">
        <w:rPr>
          <w:rFonts w:ascii="Arial" w:hAnsi="Arial" w:cs="Arial"/>
          <w:b/>
          <w:bCs/>
          <w:sz w:val="24"/>
        </w:rPr>
        <w:t>for 2021/22</w:t>
      </w:r>
      <w:r>
        <w:rPr>
          <w:rFonts w:ascii="Arial" w:hAnsi="Arial" w:cs="Arial"/>
          <w:sz w:val="24"/>
        </w:rPr>
        <w:t xml:space="preserve"> the </w:t>
      </w:r>
      <w:bookmarkStart w:id="0" w:name="_GoBack"/>
      <w:bookmarkEnd w:id="0"/>
      <w:r>
        <w:rPr>
          <w:rFonts w:ascii="Arial" w:hAnsi="Arial" w:cs="Arial"/>
          <w:sz w:val="24"/>
        </w:rPr>
        <w:t>recommendation is</w:t>
      </w:r>
      <w:r w:rsidRPr="00834191">
        <w:rPr>
          <w:rFonts w:ascii="Arial" w:hAnsi="Arial" w:cs="Arial"/>
          <w:b/>
          <w:bCs/>
          <w:sz w:val="24"/>
        </w:rPr>
        <w:t xml:space="preserve"> 200 SMRs per FTE PCN Clinical Pharmacist</w:t>
      </w:r>
      <w:r>
        <w:rPr>
          <w:rFonts w:ascii="Arial" w:hAnsi="Arial" w:cs="Arial"/>
          <w:b/>
          <w:bCs/>
          <w:sz w:val="24"/>
        </w:rPr>
        <w:t>. This will include any SMR completed from April 2021</w:t>
      </w:r>
    </w:p>
    <w:p w14:paraId="6F491BF9" w14:textId="7D0A5EA8" w:rsidR="000B5C37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sz w:val="24"/>
        </w:rPr>
        <w:t xml:space="preserve">Adjustments will be made for time spent at </w:t>
      </w:r>
      <w:r>
        <w:rPr>
          <w:rFonts w:ascii="Arial" w:hAnsi="Arial" w:cs="Arial"/>
          <w:sz w:val="24"/>
        </w:rPr>
        <w:t xml:space="preserve">a </w:t>
      </w:r>
      <w:r w:rsidRPr="009C18D1">
        <w:rPr>
          <w:rFonts w:ascii="Arial" w:hAnsi="Arial" w:cs="Arial"/>
          <w:sz w:val="24"/>
        </w:rPr>
        <w:t>vaccination site or if a pharmacist is ill</w:t>
      </w:r>
      <w:r>
        <w:rPr>
          <w:rFonts w:ascii="Arial" w:hAnsi="Arial" w:cs="Arial"/>
          <w:sz w:val="24"/>
        </w:rPr>
        <w:t xml:space="preserve"> or due to any other very special circumstances agreed with BHR ICP Medicines Management Team (MMT)</w:t>
      </w:r>
      <w:r w:rsidRPr="009C18D1">
        <w:rPr>
          <w:rFonts w:ascii="Arial" w:hAnsi="Arial" w:cs="Arial"/>
          <w:sz w:val="24"/>
        </w:rPr>
        <w:t xml:space="preserve">. This will be taken out of the hours worked by the pharmacist on a quarterly basis </w:t>
      </w:r>
    </w:p>
    <w:p w14:paraId="62C30116" w14:textId="1942F583" w:rsidR="000B5C37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Training and ongoing training support will be provided by the BHR ICP MMT, as outlined below </w:t>
      </w:r>
    </w:p>
    <w:p w14:paraId="2686D14B" w14:textId="4C9227CC" w:rsidR="00BA4024" w:rsidRDefault="000B5C37" w:rsidP="00BA402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Ideally the Eclipse SMR tool is used to identify the patients for whom the greatest benefit will potentially result from an SMR </w:t>
      </w:r>
    </w:p>
    <w:p w14:paraId="38798552" w14:textId="23325819" w:rsidR="00BA4024" w:rsidRPr="00CD5A8B" w:rsidRDefault="00BA4024" w:rsidP="00CD5A8B">
      <w:pPr>
        <w:ind w:left="283" w:hanging="283"/>
        <w:rPr>
          <w:rFonts w:ascii="Arial" w:hAnsi="Arial" w:cs="Arial"/>
          <w:b/>
          <w:bCs/>
          <w:sz w:val="24"/>
        </w:rPr>
      </w:pPr>
      <w:r w:rsidRPr="00BA4024">
        <w:rPr>
          <w:rFonts w:ascii="Arial" w:hAnsi="Arial" w:cs="Arial"/>
          <w:b/>
          <w:bCs/>
          <w:sz w:val="24"/>
        </w:rPr>
        <w:t>Coding</w:t>
      </w:r>
      <w:r w:rsidRPr="00CD5A8B">
        <w:rPr>
          <w:rFonts w:ascii="Arial" w:hAnsi="Arial" w:cs="Arial"/>
          <w:b/>
          <w:bCs/>
          <w:sz w:val="24"/>
        </w:rPr>
        <w:t xml:space="preserve"> SMRs </w:t>
      </w:r>
    </w:p>
    <w:p w14:paraId="0CCBDE47" w14:textId="77777777" w:rsidR="00BA4024" w:rsidRDefault="00BA4024" w:rsidP="00BA402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7F2BFE">
        <w:rPr>
          <w:rFonts w:ascii="Arial" w:hAnsi="Arial" w:cs="Arial"/>
          <w:sz w:val="24"/>
        </w:rPr>
        <w:t xml:space="preserve">Structured medication review (procedure) </w:t>
      </w:r>
      <w:proofErr w:type="spellStart"/>
      <w:r w:rsidRPr="007F2BFE">
        <w:rPr>
          <w:rFonts w:ascii="Arial" w:hAnsi="Arial" w:cs="Arial"/>
          <w:sz w:val="24"/>
        </w:rPr>
        <w:t>Snomed</w:t>
      </w:r>
      <w:proofErr w:type="spellEnd"/>
      <w:r w:rsidRPr="007F2BFE">
        <w:rPr>
          <w:rFonts w:ascii="Arial" w:hAnsi="Arial" w:cs="Arial"/>
          <w:sz w:val="24"/>
        </w:rPr>
        <w:t xml:space="preserve"> code 1239511000000100 is linked to</w:t>
      </w:r>
      <w:r>
        <w:rPr>
          <w:rFonts w:ascii="Arial" w:hAnsi="Arial" w:cs="Arial"/>
          <w:sz w:val="24"/>
        </w:rPr>
        <w:t xml:space="preserve"> </w:t>
      </w:r>
      <w:r w:rsidRPr="007F2BFE">
        <w:rPr>
          <w:rFonts w:ascii="Arial" w:hAnsi="Arial" w:cs="Arial"/>
          <w:sz w:val="24"/>
        </w:rPr>
        <w:t>READ code Structured medication review (Y282b</w:t>
      </w:r>
      <w:r>
        <w:rPr>
          <w:rFonts w:ascii="Arial" w:hAnsi="Arial" w:cs="Arial"/>
          <w:sz w:val="24"/>
        </w:rPr>
        <w:t>)</w:t>
      </w:r>
    </w:p>
    <w:p w14:paraId="65AA7936" w14:textId="02EA9878" w:rsidR="000B5C37" w:rsidRPr="00CD5A8B" w:rsidRDefault="00BE0227" w:rsidP="00CD5A8B">
      <w:pPr>
        <w:ind w:left="283" w:hanging="283"/>
        <w:rPr>
          <w:rFonts w:ascii="Arial" w:hAnsi="Arial" w:cs="Arial"/>
          <w:b/>
          <w:bCs/>
          <w:sz w:val="24"/>
        </w:rPr>
      </w:pPr>
      <w:r w:rsidRPr="00CD5A8B">
        <w:rPr>
          <w:rFonts w:ascii="Arial" w:hAnsi="Arial" w:cs="Arial"/>
          <w:b/>
          <w:bCs/>
          <w:sz w:val="24"/>
        </w:rPr>
        <w:t>Benefits to</w:t>
      </w:r>
      <w:r w:rsidR="000B5C37" w:rsidRPr="00CD5A8B">
        <w:rPr>
          <w:rFonts w:ascii="Arial" w:hAnsi="Arial" w:cs="Arial"/>
          <w:b/>
          <w:bCs/>
          <w:sz w:val="24"/>
        </w:rPr>
        <w:t xml:space="preserve"> PCNs and GP practices </w:t>
      </w:r>
    </w:p>
    <w:p w14:paraId="055169CA" w14:textId="7CA35AF3" w:rsidR="000B5C37" w:rsidRDefault="000B5C37" w:rsidP="000B5C37">
      <w:pPr>
        <w:rPr>
          <w:rFonts w:ascii="Arial" w:hAnsi="Arial" w:cs="Arial"/>
          <w:sz w:val="24"/>
        </w:rPr>
      </w:pPr>
      <w:r w:rsidRPr="00FE3E17">
        <w:rPr>
          <w:rFonts w:ascii="Arial" w:hAnsi="Arial" w:cs="Arial"/>
          <w:sz w:val="24"/>
        </w:rPr>
        <w:t>SMR are an essential and prescribed part of the PCN DES</w:t>
      </w:r>
      <w:r>
        <w:rPr>
          <w:rFonts w:ascii="Arial" w:hAnsi="Arial" w:cs="Arial"/>
          <w:sz w:val="24"/>
        </w:rPr>
        <w:t xml:space="preserve"> (Directed Enhanced Service). They bring together many aspects of a PCN pharmacist’s roles and skills</w:t>
      </w:r>
      <w:r w:rsidR="00BE0227">
        <w:rPr>
          <w:rFonts w:ascii="Arial" w:hAnsi="Arial" w:cs="Arial"/>
          <w:sz w:val="24"/>
        </w:rPr>
        <w:t>.</w:t>
      </w:r>
    </w:p>
    <w:p w14:paraId="472D81B7" w14:textId="77777777" w:rsidR="00BE0227" w:rsidRDefault="00BE0227" w:rsidP="000B5C37">
      <w:pPr>
        <w:rPr>
          <w:rFonts w:ascii="Arial" w:hAnsi="Arial" w:cs="Arial"/>
          <w:sz w:val="24"/>
        </w:rPr>
      </w:pPr>
    </w:p>
    <w:p w14:paraId="1F54140C" w14:textId="30FF24A4" w:rsidR="000B5C37" w:rsidRDefault="000B5C37" w:rsidP="000B5C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considered holistically, t</w:t>
      </w:r>
      <w:r w:rsidRPr="00FE3E17">
        <w:rPr>
          <w:rFonts w:ascii="Arial" w:hAnsi="Arial" w:cs="Arial"/>
          <w:sz w:val="24"/>
        </w:rPr>
        <w:t>he benefits to PCNs and GP practices are significant, some are outlined below</w:t>
      </w:r>
      <w:r>
        <w:rPr>
          <w:rFonts w:ascii="Arial" w:hAnsi="Arial" w:cs="Arial"/>
          <w:sz w:val="24"/>
        </w:rPr>
        <w:t>-</w:t>
      </w:r>
    </w:p>
    <w:p w14:paraId="7791C388" w14:textId="21E51E94" w:rsidR="000B5C37" w:rsidRPr="009C18D1" w:rsidRDefault="000B5C37" w:rsidP="000B5C3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Reduction in GP time</w:t>
      </w:r>
      <w:r w:rsidRPr="009C18D1">
        <w:rPr>
          <w:rFonts w:ascii="Arial" w:hAnsi="Arial" w:cs="Arial"/>
          <w:sz w:val="24"/>
        </w:rPr>
        <w:t xml:space="preserve"> -resolving complex medication regimes especially during acute consultations or when an issue arises. GPs can refer patients to the PCN pharmacists </w:t>
      </w:r>
    </w:p>
    <w:p w14:paraId="2E073AEF" w14:textId="6DD2E8CF" w:rsidR="000B5C37" w:rsidRPr="009C18D1" w:rsidRDefault="000B5C37" w:rsidP="000B5C3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 xml:space="preserve">Reduction in hospital admissions- </w:t>
      </w:r>
      <w:r w:rsidRPr="009C18D1">
        <w:rPr>
          <w:rFonts w:ascii="Arial" w:hAnsi="Arial" w:cs="Arial"/>
          <w:sz w:val="24"/>
        </w:rPr>
        <w:t xml:space="preserve">Prevent medication related admissions through proactive identification using eclipse SMR live e.g., falls, anti -cholinergic burden, electrolyte imbalances </w:t>
      </w:r>
    </w:p>
    <w:p w14:paraId="666CA67C" w14:textId="0C9FAA65" w:rsidR="000B5C37" w:rsidRPr="009C18D1" w:rsidRDefault="000B5C37" w:rsidP="000B5C3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Complicated Post discharge SMRs</w:t>
      </w:r>
      <w:r w:rsidRPr="009C18D1">
        <w:rPr>
          <w:rFonts w:ascii="Arial" w:hAnsi="Arial" w:cs="Arial"/>
          <w:sz w:val="24"/>
        </w:rPr>
        <w:t xml:space="preserve">- provide support for practices in complex medication discharges where several medications have changed. PCN pharmacists can also get community pharmacists to support such </w:t>
      </w:r>
      <w:r w:rsidRPr="009C18D1">
        <w:rPr>
          <w:rFonts w:ascii="Arial" w:hAnsi="Arial" w:cs="Arial"/>
          <w:sz w:val="24"/>
        </w:rPr>
        <w:lastRenderedPageBreak/>
        <w:t xml:space="preserve">discharges via the Discharge </w:t>
      </w:r>
      <w:r w:rsidR="00BE0227">
        <w:rPr>
          <w:rFonts w:ascii="Arial" w:hAnsi="Arial" w:cs="Arial"/>
          <w:sz w:val="24"/>
        </w:rPr>
        <w:t>M</w:t>
      </w:r>
      <w:r w:rsidRPr="009C18D1">
        <w:rPr>
          <w:rFonts w:ascii="Arial" w:hAnsi="Arial" w:cs="Arial"/>
          <w:sz w:val="24"/>
        </w:rPr>
        <w:t xml:space="preserve">edication </w:t>
      </w:r>
      <w:r w:rsidR="00BE0227">
        <w:rPr>
          <w:rFonts w:ascii="Arial" w:hAnsi="Arial" w:cs="Arial"/>
          <w:sz w:val="24"/>
        </w:rPr>
        <w:t>S</w:t>
      </w:r>
      <w:r w:rsidRPr="009C18D1">
        <w:rPr>
          <w:rFonts w:ascii="Arial" w:hAnsi="Arial" w:cs="Arial"/>
          <w:sz w:val="24"/>
        </w:rPr>
        <w:t xml:space="preserve">ervice. This will save ‘to and </w:t>
      </w:r>
      <w:proofErr w:type="spellStart"/>
      <w:r w:rsidRPr="009C18D1">
        <w:rPr>
          <w:rFonts w:ascii="Arial" w:hAnsi="Arial" w:cs="Arial"/>
          <w:sz w:val="24"/>
        </w:rPr>
        <w:t>fro</w:t>
      </w:r>
      <w:proofErr w:type="spellEnd"/>
      <w:r w:rsidRPr="009C18D1">
        <w:rPr>
          <w:rFonts w:ascii="Arial" w:hAnsi="Arial" w:cs="Arial"/>
          <w:sz w:val="24"/>
        </w:rPr>
        <w:t>.’ between practices and pharmacies especially around Dossett boxes</w:t>
      </w:r>
    </w:p>
    <w:p w14:paraId="713BBDB5" w14:textId="3781A7E5" w:rsidR="000B5C37" w:rsidRPr="009C18D1" w:rsidRDefault="000B5C37" w:rsidP="000B5C3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 xml:space="preserve">Training </w:t>
      </w:r>
      <w:r w:rsidRPr="009C18D1">
        <w:rPr>
          <w:rFonts w:ascii="Arial" w:hAnsi="Arial" w:cs="Arial"/>
          <w:sz w:val="24"/>
        </w:rPr>
        <w:t xml:space="preserve">– The bespoke training provided by the ICP </w:t>
      </w:r>
      <w:r w:rsidR="00BE0227">
        <w:rPr>
          <w:rFonts w:ascii="Arial" w:hAnsi="Arial" w:cs="Arial"/>
          <w:sz w:val="24"/>
        </w:rPr>
        <w:t xml:space="preserve">MMT </w:t>
      </w:r>
      <w:r w:rsidRPr="009C18D1">
        <w:rPr>
          <w:rFonts w:ascii="Arial" w:hAnsi="Arial" w:cs="Arial"/>
          <w:sz w:val="24"/>
        </w:rPr>
        <w:t>will enhance the skills of PCN pharmacists and provide a support network which will be of value beyond SMRs</w:t>
      </w:r>
    </w:p>
    <w:p w14:paraId="1BE9C0B7" w14:textId="0412D13D" w:rsidR="000B5C37" w:rsidRDefault="000B5C37" w:rsidP="000B5C3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QOF and LIS support</w:t>
      </w:r>
      <w:r w:rsidRPr="009C18D1">
        <w:rPr>
          <w:rFonts w:ascii="Arial" w:hAnsi="Arial" w:cs="Arial"/>
          <w:sz w:val="24"/>
        </w:rPr>
        <w:t xml:space="preserve"> - PCNs can ask their pharmacists to incorporate elements of QOF and LIS within the SMRs. For example -</w:t>
      </w:r>
      <w:r w:rsidR="00BE0227">
        <w:rPr>
          <w:rFonts w:ascii="Arial" w:hAnsi="Arial" w:cs="Arial"/>
          <w:sz w:val="24"/>
        </w:rPr>
        <w:t xml:space="preserve"> </w:t>
      </w:r>
      <w:r w:rsidRPr="009C18D1">
        <w:rPr>
          <w:rFonts w:ascii="Arial" w:hAnsi="Arial" w:cs="Arial"/>
          <w:sz w:val="24"/>
        </w:rPr>
        <w:t>parts of the respiratory and AF QOF and LIS could be incorporated in an SMR</w:t>
      </w:r>
      <w:r w:rsidR="00BE0227">
        <w:rPr>
          <w:rFonts w:ascii="Arial" w:hAnsi="Arial" w:cs="Arial"/>
          <w:sz w:val="24"/>
        </w:rPr>
        <w:t>,</w:t>
      </w:r>
      <w:r w:rsidRPr="009C18D1">
        <w:rPr>
          <w:rFonts w:ascii="Arial" w:hAnsi="Arial" w:cs="Arial"/>
          <w:sz w:val="24"/>
        </w:rPr>
        <w:t xml:space="preserve"> if the PCN</w:t>
      </w:r>
      <w:r>
        <w:rPr>
          <w:rFonts w:ascii="Arial" w:hAnsi="Arial" w:cs="Arial"/>
          <w:sz w:val="24"/>
        </w:rPr>
        <w:t xml:space="preserve"> wishes to do so</w:t>
      </w:r>
      <w:r w:rsidRPr="009C18D1">
        <w:rPr>
          <w:rFonts w:ascii="Arial" w:hAnsi="Arial" w:cs="Arial"/>
          <w:sz w:val="24"/>
        </w:rPr>
        <w:t xml:space="preserve"> </w:t>
      </w:r>
    </w:p>
    <w:p w14:paraId="2F4C9623" w14:textId="17459CC8" w:rsidR="000B5C37" w:rsidRPr="007F15F4" w:rsidRDefault="000B5C37" w:rsidP="000B5C37">
      <w:pPr>
        <w:rPr>
          <w:rFonts w:ascii="Arial" w:hAnsi="Arial" w:cs="Arial"/>
          <w:b/>
          <w:bCs/>
          <w:sz w:val="24"/>
        </w:rPr>
      </w:pPr>
      <w:r w:rsidRPr="007F15F4">
        <w:rPr>
          <w:rFonts w:ascii="Arial" w:hAnsi="Arial" w:cs="Arial"/>
          <w:b/>
          <w:bCs/>
          <w:sz w:val="24"/>
        </w:rPr>
        <w:t>S</w:t>
      </w:r>
      <w:r w:rsidR="00BE0227">
        <w:rPr>
          <w:rFonts w:ascii="Arial" w:hAnsi="Arial" w:cs="Arial"/>
          <w:b/>
          <w:bCs/>
          <w:sz w:val="24"/>
        </w:rPr>
        <w:t>upport for Training</w:t>
      </w:r>
    </w:p>
    <w:p w14:paraId="282883F9" w14:textId="649C6B9D" w:rsidR="000B5C37" w:rsidRDefault="000B5C37" w:rsidP="000B5C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PCN pharmacists are at various stages in their development. The BHR ICP </w:t>
      </w:r>
      <w:r w:rsidR="00BE0227">
        <w:rPr>
          <w:rFonts w:ascii="Arial" w:hAnsi="Arial" w:cs="Arial"/>
          <w:sz w:val="24"/>
        </w:rPr>
        <w:t>MMT</w:t>
      </w:r>
      <w:r>
        <w:rPr>
          <w:rFonts w:ascii="Arial" w:hAnsi="Arial" w:cs="Arial"/>
          <w:sz w:val="24"/>
        </w:rPr>
        <w:t xml:space="preserve"> is making available the following support for PCN pharmacists who require it</w:t>
      </w:r>
      <w:r w:rsidR="00BE0227">
        <w:rPr>
          <w:rFonts w:ascii="Arial" w:hAnsi="Arial" w:cs="Arial"/>
          <w:sz w:val="24"/>
        </w:rPr>
        <w:t>:</w:t>
      </w:r>
    </w:p>
    <w:p w14:paraId="355BB755" w14:textId="2C08AC65" w:rsidR="000B5C37" w:rsidRPr="009C18D1" w:rsidRDefault="000B5C37" w:rsidP="000B5C3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Introductory sessions</w:t>
      </w:r>
      <w:r w:rsidRPr="009C18D1">
        <w:rPr>
          <w:rFonts w:ascii="Arial" w:hAnsi="Arial" w:cs="Arial"/>
          <w:sz w:val="24"/>
        </w:rPr>
        <w:t xml:space="preserve"> – Three sessions starting 28</w:t>
      </w:r>
      <w:r w:rsidRPr="009C18D1">
        <w:rPr>
          <w:rFonts w:ascii="Arial" w:hAnsi="Arial" w:cs="Arial"/>
          <w:sz w:val="24"/>
          <w:vertAlign w:val="superscript"/>
        </w:rPr>
        <w:t>th</w:t>
      </w:r>
      <w:r w:rsidRPr="009C18D1">
        <w:rPr>
          <w:rFonts w:ascii="Arial" w:hAnsi="Arial" w:cs="Arial"/>
          <w:sz w:val="24"/>
        </w:rPr>
        <w:t xml:space="preserve"> June 21 and running weekly. These will cover</w:t>
      </w:r>
      <w:r w:rsidR="00BE0227">
        <w:rPr>
          <w:rFonts w:ascii="Arial" w:hAnsi="Arial" w:cs="Arial"/>
          <w:sz w:val="24"/>
        </w:rPr>
        <w:t xml:space="preserve"> –</w:t>
      </w:r>
      <w:r w:rsidRPr="009C18D1">
        <w:rPr>
          <w:rFonts w:ascii="Arial" w:hAnsi="Arial" w:cs="Arial"/>
          <w:sz w:val="24"/>
        </w:rPr>
        <w:t xml:space="preserve"> </w:t>
      </w:r>
      <w:r w:rsidR="00BE0227">
        <w:rPr>
          <w:rFonts w:ascii="Arial" w:hAnsi="Arial" w:cs="Arial"/>
          <w:sz w:val="24"/>
        </w:rPr>
        <w:t xml:space="preserve">(1) </w:t>
      </w:r>
      <w:r w:rsidRPr="009C18D1">
        <w:rPr>
          <w:rFonts w:ascii="Arial" w:hAnsi="Arial" w:cs="Arial"/>
          <w:sz w:val="24"/>
        </w:rPr>
        <w:t>What is an SMR</w:t>
      </w:r>
      <w:r w:rsidR="00BE0227">
        <w:rPr>
          <w:rFonts w:ascii="Arial" w:hAnsi="Arial" w:cs="Arial"/>
          <w:sz w:val="24"/>
        </w:rPr>
        <w:t>;</w:t>
      </w:r>
      <w:r w:rsidRPr="009C18D1">
        <w:rPr>
          <w:rFonts w:ascii="Arial" w:hAnsi="Arial" w:cs="Arial"/>
          <w:sz w:val="24"/>
        </w:rPr>
        <w:t xml:space="preserve"> </w:t>
      </w:r>
      <w:r w:rsidR="00BE0227">
        <w:rPr>
          <w:rFonts w:ascii="Arial" w:hAnsi="Arial" w:cs="Arial"/>
          <w:sz w:val="24"/>
        </w:rPr>
        <w:t xml:space="preserve">(2) </w:t>
      </w:r>
      <w:r w:rsidRPr="009C18D1">
        <w:rPr>
          <w:rFonts w:ascii="Arial" w:hAnsi="Arial" w:cs="Arial"/>
          <w:sz w:val="24"/>
        </w:rPr>
        <w:t>How to undertake an SMR</w:t>
      </w:r>
      <w:r w:rsidR="00BE0227">
        <w:rPr>
          <w:rFonts w:ascii="Arial" w:hAnsi="Arial" w:cs="Arial"/>
          <w:sz w:val="24"/>
        </w:rPr>
        <w:t>; (3)</w:t>
      </w:r>
      <w:r w:rsidRPr="009C18D1">
        <w:rPr>
          <w:rFonts w:ascii="Arial" w:hAnsi="Arial" w:cs="Arial"/>
          <w:sz w:val="24"/>
        </w:rPr>
        <w:t xml:space="preserve"> Key clinical tips and case studies </w:t>
      </w:r>
    </w:p>
    <w:p w14:paraId="1A95037C" w14:textId="77777777" w:rsidR="000B5C37" w:rsidRPr="009C18D1" w:rsidRDefault="000B5C37" w:rsidP="000B5C3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4"/>
        </w:rPr>
      </w:pPr>
      <w:r w:rsidRPr="009C18D1">
        <w:rPr>
          <w:rFonts w:ascii="Arial" w:hAnsi="Arial" w:cs="Arial"/>
          <w:b/>
          <w:bCs/>
          <w:sz w:val="24"/>
        </w:rPr>
        <w:t>Monthly support sessions</w:t>
      </w:r>
    </w:p>
    <w:p w14:paraId="61B36A16" w14:textId="63CA7827" w:rsidR="000B5C37" w:rsidRPr="009C18D1" w:rsidRDefault="000B5C37" w:rsidP="000B5C3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A local SMR training portfolio</w:t>
      </w:r>
    </w:p>
    <w:p w14:paraId="3AF9B71E" w14:textId="77777777" w:rsidR="000B5C37" w:rsidRDefault="000B5C37" w:rsidP="000B5C3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b/>
          <w:bCs/>
          <w:sz w:val="24"/>
        </w:rPr>
        <w:t>Support from a prescribing adviser</w:t>
      </w:r>
      <w:r w:rsidRPr="009C18D1">
        <w:rPr>
          <w:rFonts w:ascii="Arial" w:hAnsi="Arial" w:cs="Arial"/>
          <w:sz w:val="24"/>
        </w:rPr>
        <w:t xml:space="preserve"> allocated to the PCN</w:t>
      </w:r>
    </w:p>
    <w:p w14:paraId="18F2CDAC" w14:textId="18E18634" w:rsidR="000B5C37" w:rsidRPr="009C18D1" w:rsidRDefault="00BE0227" w:rsidP="000B5C3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Number of</w:t>
      </w:r>
      <w:r w:rsidR="000B5C37" w:rsidRPr="009C18D1">
        <w:rPr>
          <w:rFonts w:ascii="Arial" w:hAnsi="Arial" w:cs="Arial"/>
          <w:b/>
          <w:bCs/>
          <w:sz w:val="24"/>
        </w:rPr>
        <w:t xml:space="preserve"> SMRs </w:t>
      </w:r>
    </w:p>
    <w:p w14:paraId="35C8F5CF" w14:textId="77777777" w:rsidR="000B5C37" w:rsidRDefault="000B5C37" w:rsidP="000B5C37">
      <w:pPr>
        <w:rPr>
          <w:rFonts w:ascii="Arial" w:hAnsi="Arial" w:cs="Arial"/>
          <w:sz w:val="24"/>
        </w:rPr>
      </w:pPr>
      <w:bookmarkStart w:id="1" w:name="_Hlk75173839"/>
      <w:r>
        <w:rPr>
          <w:rFonts w:ascii="Arial" w:hAnsi="Arial" w:cs="Arial"/>
          <w:sz w:val="24"/>
        </w:rPr>
        <w:t xml:space="preserve">The DES specification </w:t>
      </w:r>
      <w:r w:rsidRPr="00CC0708">
        <w:rPr>
          <w:rFonts w:ascii="Arial" w:hAnsi="Arial" w:cs="Arial"/>
          <w:b/>
          <w:bCs/>
          <w:sz w:val="24"/>
        </w:rPr>
        <w:t>requires</w:t>
      </w:r>
      <w:r>
        <w:rPr>
          <w:rFonts w:ascii="Arial" w:hAnsi="Arial" w:cs="Arial"/>
          <w:sz w:val="24"/>
        </w:rPr>
        <w:t xml:space="preserve"> PCNs to agree the number of SMRs to be carried out with their CCG. </w:t>
      </w:r>
    </w:p>
    <w:p w14:paraId="798AD41F" w14:textId="2FA51C7B" w:rsidR="000B5C37" w:rsidRDefault="000B5C37" w:rsidP="000B5C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Rationale</w:t>
      </w:r>
      <w:r w:rsidR="00BE022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14:paraId="5DF8A5DE" w14:textId="196FBF07" w:rsidR="000B5C37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sz w:val="24"/>
        </w:rPr>
        <w:t>On the basis o</w:t>
      </w:r>
      <w:r w:rsidR="00BE0227">
        <w:rPr>
          <w:rFonts w:ascii="Arial" w:hAnsi="Arial" w:cs="Arial"/>
          <w:sz w:val="24"/>
        </w:rPr>
        <w:t>f</w:t>
      </w:r>
      <w:r w:rsidRPr="009C18D1">
        <w:rPr>
          <w:rFonts w:ascii="Arial" w:hAnsi="Arial" w:cs="Arial"/>
          <w:sz w:val="24"/>
        </w:rPr>
        <w:t xml:space="preserve"> one hour per SMR, to work towards 300 SMR per annum, would require 6-7 hours per week approximately per FTE clinical pharmacist</w:t>
      </w:r>
      <w:r>
        <w:rPr>
          <w:rFonts w:ascii="Arial" w:hAnsi="Arial" w:cs="Arial"/>
          <w:sz w:val="24"/>
        </w:rPr>
        <w:t>,</w:t>
      </w:r>
      <w:r w:rsidRPr="009C18D1">
        <w:rPr>
          <w:rFonts w:ascii="Arial" w:hAnsi="Arial" w:cs="Arial"/>
          <w:sz w:val="24"/>
        </w:rPr>
        <w:t xml:space="preserve"> </w:t>
      </w:r>
      <w:proofErr w:type="gramStart"/>
      <w:r w:rsidRPr="009C18D1">
        <w:rPr>
          <w:rFonts w:ascii="Arial" w:hAnsi="Arial" w:cs="Arial"/>
          <w:sz w:val="24"/>
        </w:rPr>
        <w:t>taking into account</w:t>
      </w:r>
      <w:proofErr w:type="gramEnd"/>
      <w:r w:rsidRPr="009C18D1">
        <w:rPr>
          <w:rFonts w:ascii="Arial" w:hAnsi="Arial" w:cs="Arial"/>
          <w:sz w:val="24"/>
        </w:rPr>
        <w:t xml:space="preserve"> holidays </w:t>
      </w:r>
    </w:p>
    <w:p w14:paraId="27001230" w14:textId="6F002D22" w:rsidR="000B5C37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bookmarkStart w:id="2" w:name="_Hlk75195831"/>
      <w:r w:rsidRPr="009C18D1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>e target of 300 SMR per FTE Clinical Pharmacist</w:t>
      </w:r>
      <w:bookmarkEnd w:id="2"/>
      <w:r w:rsidR="008933C5">
        <w:rPr>
          <w:rFonts w:ascii="Arial" w:hAnsi="Arial" w:cs="Arial"/>
          <w:sz w:val="24"/>
        </w:rPr>
        <w:t xml:space="preserve"> per annum</w:t>
      </w:r>
      <w:r>
        <w:rPr>
          <w:rFonts w:ascii="Arial" w:hAnsi="Arial" w:cs="Arial"/>
          <w:sz w:val="24"/>
        </w:rPr>
        <w:t xml:space="preserve">, pro rata 200 for remainder of 2021/22 </w:t>
      </w:r>
      <w:r w:rsidRPr="009C18D1">
        <w:rPr>
          <w:rFonts w:ascii="Arial" w:hAnsi="Arial" w:cs="Arial"/>
          <w:sz w:val="24"/>
        </w:rPr>
        <w:t>is on the lower end of targets set by CCGs nationally. Some are as high as 900</w:t>
      </w:r>
    </w:p>
    <w:p w14:paraId="470797FE" w14:textId="5592C111" w:rsidR="00BE0227" w:rsidRPr="009C18D1" w:rsidRDefault="00BE022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e target of 300 SMR per FTE Clinical Pharmacist </w:t>
      </w:r>
      <w:r w:rsidR="008933C5">
        <w:rPr>
          <w:rFonts w:ascii="Arial" w:hAnsi="Arial" w:cs="Arial"/>
          <w:sz w:val="24"/>
        </w:rPr>
        <w:t xml:space="preserve">per annum </w:t>
      </w:r>
      <w:r>
        <w:rPr>
          <w:rFonts w:ascii="Arial" w:hAnsi="Arial" w:cs="Arial"/>
          <w:sz w:val="24"/>
        </w:rPr>
        <w:t>was discussed and agreed at the BHR ICP Medicines Safety and Governance Group</w:t>
      </w:r>
    </w:p>
    <w:p w14:paraId="48C67B6D" w14:textId="74D05707" w:rsidR="000B5C37" w:rsidRPr="009C18D1" w:rsidRDefault="000B5C37" w:rsidP="000B5C3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9C18D1">
        <w:rPr>
          <w:rFonts w:ascii="Arial" w:hAnsi="Arial" w:cs="Arial"/>
          <w:sz w:val="24"/>
        </w:rPr>
        <w:t>Some PCNs within NEL ha</w:t>
      </w:r>
      <w:r>
        <w:rPr>
          <w:rFonts w:ascii="Arial" w:hAnsi="Arial" w:cs="Arial"/>
          <w:sz w:val="24"/>
        </w:rPr>
        <w:t>ve</w:t>
      </w:r>
      <w:r w:rsidRPr="009C18D1">
        <w:rPr>
          <w:rFonts w:ascii="Arial" w:hAnsi="Arial" w:cs="Arial"/>
          <w:sz w:val="24"/>
        </w:rPr>
        <w:t xml:space="preserve"> already done </w:t>
      </w:r>
      <w:r>
        <w:rPr>
          <w:rFonts w:ascii="Arial" w:hAnsi="Arial" w:cs="Arial"/>
          <w:sz w:val="24"/>
        </w:rPr>
        <w:t xml:space="preserve">more than </w:t>
      </w:r>
      <w:r w:rsidRPr="009C18D1">
        <w:rPr>
          <w:rFonts w:ascii="Arial" w:hAnsi="Arial" w:cs="Arial"/>
          <w:sz w:val="24"/>
        </w:rPr>
        <w:t>150 SMR</w:t>
      </w:r>
    </w:p>
    <w:bookmarkEnd w:id="1"/>
    <w:p w14:paraId="0179E316" w14:textId="251F9CCE" w:rsidR="000B5C37" w:rsidRPr="00D849E2" w:rsidRDefault="00BE0227" w:rsidP="000B5C37">
      <w:pPr>
        <w:rPr>
          <w:rFonts w:ascii="Arial" w:hAnsi="Arial" w:cs="Arial"/>
          <w:b/>
          <w:bCs/>
          <w:sz w:val="24"/>
        </w:rPr>
      </w:pPr>
      <w:r w:rsidRPr="00D849E2">
        <w:rPr>
          <w:rFonts w:ascii="Arial" w:hAnsi="Arial" w:cs="Arial"/>
          <w:b/>
          <w:bCs/>
          <w:sz w:val="24"/>
        </w:rPr>
        <w:t>I</w:t>
      </w:r>
      <w:r>
        <w:rPr>
          <w:rFonts w:ascii="Arial" w:hAnsi="Arial" w:cs="Arial"/>
          <w:b/>
          <w:bCs/>
          <w:sz w:val="24"/>
        </w:rPr>
        <w:t>dentification of</w:t>
      </w:r>
      <w:r w:rsidR="000B5C37" w:rsidRPr="00D849E2">
        <w:rPr>
          <w:rFonts w:ascii="Arial" w:hAnsi="Arial" w:cs="Arial"/>
          <w:b/>
          <w:bCs/>
          <w:sz w:val="24"/>
        </w:rPr>
        <w:t xml:space="preserve"> P</w:t>
      </w:r>
      <w:r>
        <w:rPr>
          <w:rFonts w:ascii="Arial" w:hAnsi="Arial" w:cs="Arial"/>
          <w:b/>
          <w:bCs/>
          <w:sz w:val="24"/>
        </w:rPr>
        <w:t>atients</w:t>
      </w:r>
      <w:r w:rsidR="000B5C37" w:rsidRPr="00D849E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for</w:t>
      </w:r>
      <w:r w:rsidR="000B5C37" w:rsidRPr="00D849E2">
        <w:rPr>
          <w:rFonts w:ascii="Arial" w:hAnsi="Arial" w:cs="Arial"/>
          <w:b/>
          <w:bCs/>
          <w:sz w:val="24"/>
        </w:rPr>
        <w:t xml:space="preserve"> SMRs</w:t>
      </w:r>
    </w:p>
    <w:p w14:paraId="3C097857" w14:textId="48CF5BE8" w:rsidR="000B5C37" w:rsidRPr="00A4027B" w:rsidRDefault="000B5C37" w:rsidP="00A4027B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A4027B">
        <w:rPr>
          <w:rFonts w:ascii="Arial" w:hAnsi="Arial" w:cs="Arial"/>
          <w:sz w:val="24"/>
        </w:rPr>
        <w:t>The cohort of patients in whom an SMR could be carried is vast and is approximated to be 20% of the list size of a PCN</w:t>
      </w:r>
    </w:p>
    <w:p w14:paraId="525A8808" w14:textId="35E2EC80" w:rsidR="000B5C37" w:rsidRPr="00A4027B" w:rsidRDefault="00BE0227" w:rsidP="00A4027B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B5C37" w:rsidRPr="00A4027B">
        <w:rPr>
          <w:rFonts w:ascii="Arial" w:hAnsi="Arial" w:cs="Arial"/>
          <w:sz w:val="24"/>
        </w:rPr>
        <w:t>he greatest benefit will be realised when carried out in those patients who are on the most medications and most at risk of medication related problems</w:t>
      </w:r>
    </w:p>
    <w:p w14:paraId="7618B5A3" w14:textId="56B6AE9B" w:rsidR="007F7F4C" w:rsidRPr="007F7F4C" w:rsidRDefault="000B5C37" w:rsidP="00A4027B">
      <w:pPr>
        <w:pStyle w:val="ListParagraph"/>
        <w:numPr>
          <w:ilvl w:val="0"/>
          <w:numId w:val="9"/>
        </w:numPr>
        <w:tabs>
          <w:tab w:val="left" w:pos="1839"/>
        </w:tabs>
      </w:pPr>
      <w:r w:rsidRPr="00A4027B">
        <w:rPr>
          <w:rFonts w:ascii="Arial" w:hAnsi="Arial" w:cs="Arial"/>
          <w:sz w:val="24"/>
        </w:rPr>
        <w:t xml:space="preserve">The Eclipse SMR Live tool, identifies the priority patients for whom the greatest benefits will be potentially realised from SMRs. </w:t>
      </w:r>
      <w:r w:rsidR="00BE0227" w:rsidRPr="00A4027B">
        <w:rPr>
          <w:rFonts w:ascii="Arial" w:hAnsi="Arial" w:cs="Arial"/>
          <w:sz w:val="24"/>
        </w:rPr>
        <w:t xml:space="preserve">This tool </w:t>
      </w:r>
      <w:r w:rsidRPr="00A4027B">
        <w:rPr>
          <w:rFonts w:ascii="Arial" w:hAnsi="Arial" w:cs="Arial"/>
          <w:sz w:val="24"/>
        </w:rPr>
        <w:t>risk stratifies patient</w:t>
      </w:r>
      <w:r w:rsidR="00BE0227" w:rsidRPr="00A4027B">
        <w:rPr>
          <w:rFonts w:ascii="Arial" w:hAnsi="Arial" w:cs="Arial"/>
          <w:sz w:val="24"/>
        </w:rPr>
        <w:t>s</w:t>
      </w:r>
      <w:r w:rsidRPr="00A4027B">
        <w:rPr>
          <w:rFonts w:ascii="Arial" w:hAnsi="Arial" w:cs="Arial"/>
          <w:sz w:val="24"/>
        </w:rPr>
        <w:t xml:space="preserve"> based on numerous parameters including polypharmacy, anti-cholinergic burden, frailty, prescribing alerts etc. Even within the priority cohort, it grades the patient based on the greatest risk. </w:t>
      </w:r>
      <w:r w:rsidR="00BE0227" w:rsidRPr="00BE0227">
        <w:rPr>
          <w:rFonts w:ascii="Arial" w:hAnsi="Arial" w:cs="Arial"/>
          <w:sz w:val="24"/>
        </w:rPr>
        <w:t>Therefore,</w:t>
      </w:r>
      <w:r w:rsidR="00BE0227" w:rsidRPr="00A4027B">
        <w:rPr>
          <w:rFonts w:ascii="Arial" w:hAnsi="Arial" w:cs="Arial"/>
          <w:sz w:val="24"/>
        </w:rPr>
        <w:t xml:space="preserve"> </w:t>
      </w:r>
      <w:r w:rsidRPr="00A4027B">
        <w:rPr>
          <w:rFonts w:ascii="Arial" w:hAnsi="Arial" w:cs="Arial"/>
          <w:sz w:val="24"/>
        </w:rPr>
        <w:t>BHR ICP recommends the Eclipse SMR tool is used to identify patients suitable for an SMR</w:t>
      </w:r>
    </w:p>
    <w:p w14:paraId="7D06F38D" w14:textId="2F9E5A63" w:rsidR="00516423" w:rsidRPr="00915DB5" w:rsidRDefault="007F7F4C" w:rsidP="00915DB5">
      <w:pPr>
        <w:pStyle w:val="ListParagraph"/>
        <w:numPr>
          <w:ilvl w:val="0"/>
          <w:numId w:val="9"/>
        </w:numPr>
        <w:tabs>
          <w:tab w:val="left" w:pos="1839"/>
        </w:tabs>
      </w:pPr>
      <w:r w:rsidRPr="00E04587">
        <w:rPr>
          <w:rFonts w:ascii="Arial" w:hAnsi="Arial" w:cs="Arial"/>
          <w:sz w:val="24"/>
        </w:rPr>
        <w:t>Bespoke Training is available on the Eclipse SMR tool which is different to the Eclipse Live tool</w:t>
      </w:r>
    </w:p>
    <w:sectPr w:rsidR="00516423" w:rsidRPr="00915DB5" w:rsidSect="005164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0" w:right="1440" w:bottom="1746" w:left="1440" w:header="833" w:footer="9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45D3" w14:textId="77777777" w:rsidR="00F90C23" w:rsidRDefault="00F90C23" w:rsidP="00255A71">
      <w:r>
        <w:separator/>
      </w:r>
    </w:p>
  </w:endnote>
  <w:endnote w:type="continuationSeparator" w:id="0">
    <w:p w14:paraId="54775968" w14:textId="77777777" w:rsidR="00F90C23" w:rsidRDefault="00F90C23" w:rsidP="002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rutiger">
    <w:altName w:val="Frutiger"/>
    <w:charset w:val="00"/>
    <w:family w:val="swiss"/>
    <w:pitch w:val="variable"/>
    <w:sig w:usb0="80000027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921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6865B" w14:textId="0260486E" w:rsidR="00392211" w:rsidRDefault="00392211" w:rsidP="000362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25405" w14:textId="77777777" w:rsidR="00392211" w:rsidRDefault="00392211" w:rsidP="003922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0B35" w14:textId="79975FA8" w:rsidR="00392211" w:rsidRDefault="005E277B" w:rsidP="005E277B">
    <w:pPr>
      <w:pStyle w:val="Footer"/>
      <w:rPr>
        <w:rFonts w:ascii="Arial" w:hAnsi="Arial" w:cs="Arial"/>
        <w:color w:val="202A31" w:themeColor="text1" w:themeShade="80"/>
        <w:sz w:val="16"/>
        <w:szCs w:val="16"/>
      </w:rPr>
    </w:pPr>
    <w:r w:rsidRPr="00384268">
      <w:rPr>
        <w:rFonts w:ascii="Arial" w:hAnsi="Arial" w:cs="Arial"/>
        <w:color w:val="202A31" w:themeColor="text1" w:themeShade="80"/>
        <w:sz w:val="16"/>
        <w:szCs w:val="16"/>
      </w:rPr>
      <w:t xml:space="preserve">Page: </w: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begin"/>
    </w:r>
    <w:r w:rsidRPr="00384268">
      <w:rPr>
        <w:rFonts w:ascii="Arial" w:hAnsi="Arial" w:cs="Arial"/>
        <w:color w:val="202A31" w:themeColor="text1" w:themeShade="80"/>
        <w:sz w:val="16"/>
        <w:szCs w:val="16"/>
      </w:rPr>
      <w:instrText xml:space="preserve"> PAGE </w:instrTex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separate"/>
    </w:r>
    <w:r w:rsidR="00BE5DCE">
      <w:rPr>
        <w:rFonts w:ascii="Arial" w:hAnsi="Arial" w:cs="Arial"/>
        <w:noProof/>
        <w:color w:val="202A31" w:themeColor="text1" w:themeShade="80"/>
        <w:sz w:val="16"/>
        <w:szCs w:val="16"/>
      </w:rPr>
      <w:t>2</w: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end"/>
    </w:r>
  </w:p>
  <w:p w14:paraId="3F3D99C1" w14:textId="2BD292A7" w:rsidR="00A730A4" w:rsidRPr="00384268" w:rsidRDefault="00A730A4" w:rsidP="005E277B">
    <w:pPr>
      <w:pStyle w:val="Footer"/>
      <w:rPr>
        <w:rFonts w:ascii="Arial" w:hAnsi="Arial" w:cs="Arial"/>
        <w:color w:val="202A31" w:themeColor="text1" w:themeShade="80"/>
        <w:sz w:val="16"/>
        <w:szCs w:val="16"/>
      </w:rPr>
    </w:pPr>
    <w:r>
      <w:rPr>
        <w:rFonts w:ascii="Arial" w:hAnsi="Arial" w:cs="Arial"/>
        <w:color w:val="202A31" w:themeColor="text1" w:themeShade="80"/>
        <w:sz w:val="16"/>
        <w:szCs w:val="16"/>
      </w:rPr>
      <w:t>Approved by BHR ICP Area Prescribing Committee: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37EE" w14:textId="69A884A2" w:rsidR="00384268" w:rsidRDefault="00506CC0">
    <w:pPr>
      <w:pStyle w:val="Footer"/>
      <w:rPr>
        <w:rFonts w:ascii="Arial" w:hAnsi="Arial" w:cs="Arial"/>
        <w:color w:val="202A31" w:themeColor="text1" w:themeShade="80"/>
        <w:sz w:val="16"/>
        <w:szCs w:val="16"/>
      </w:rPr>
    </w:pPr>
    <w:r w:rsidRPr="00384268">
      <w:rPr>
        <w:rFonts w:ascii="Arial" w:hAnsi="Arial" w:cs="Arial"/>
        <w:color w:val="202A31" w:themeColor="text1" w:themeShade="80"/>
        <w:sz w:val="16"/>
        <w:szCs w:val="16"/>
      </w:rPr>
      <w:t xml:space="preserve">Page: </w: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begin"/>
    </w:r>
    <w:r w:rsidRPr="00384268">
      <w:rPr>
        <w:rFonts w:ascii="Arial" w:hAnsi="Arial" w:cs="Arial"/>
        <w:color w:val="202A31" w:themeColor="text1" w:themeShade="80"/>
        <w:sz w:val="16"/>
        <w:szCs w:val="16"/>
      </w:rPr>
      <w:instrText xml:space="preserve"> PAGE </w:instrTex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separate"/>
    </w:r>
    <w:r w:rsidR="00915DB5">
      <w:rPr>
        <w:rFonts w:ascii="Arial" w:hAnsi="Arial" w:cs="Arial"/>
        <w:noProof/>
        <w:color w:val="202A31" w:themeColor="text1" w:themeShade="80"/>
        <w:sz w:val="16"/>
        <w:szCs w:val="16"/>
      </w:rPr>
      <w:t>1</w:t>
    </w:r>
    <w:r w:rsidRPr="00384268">
      <w:rPr>
        <w:rFonts w:ascii="Arial" w:hAnsi="Arial" w:cs="Arial"/>
        <w:color w:val="202A31" w:themeColor="text1" w:themeShade="80"/>
        <w:sz w:val="16"/>
        <w:szCs w:val="16"/>
      </w:rPr>
      <w:fldChar w:fldCharType="end"/>
    </w:r>
  </w:p>
  <w:p w14:paraId="00F52148" w14:textId="5EC0F70D" w:rsidR="00A730A4" w:rsidRPr="00506CC0" w:rsidRDefault="00A730A4">
    <w:pPr>
      <w:pStyle w:val="Footer"/>
      <w:rPr>
        <w:rFonts w:ascii="Arial" w:hAnsi="Arial" w:cs="Arial"/>
        <w:color w:val="202A31" w:themeColor="text1" w:themeShade="80"/>
        <w:sz w:val="16"/>
        <w:szCs w:val="16"/>
      </w:rPr>
    </w:pPr>
    <w:r>
      <w:rPr>
        <w:rFonts w:ascii="Arial" w:hAnsi="Arial" w:cs="Arial"/>
        <w:color w:val="202A31" w:themeColor="text1" w:themeShade="80"/>
        <w:sz w:val="16"/>
        <w:szCs w:val="16"/>
      </w:rPr>
      <w:t>Approved by BHR ICP Area Prescribing Committee: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2C5C" w14:textId="77777777" w:rsidR="00F90C23" w:rsidRDefault="00F90C23" w:rsidP="00255A71">
      <w:r>
        <w:separator/>
      </w:r>
    </w:p>
  </w:footnote>
  <w:footnote w:type="continuationSeparator" w:id="0">
    <w:p w14:paraId="23E726D4" w14:textId="77777777" w:rsidR="00F90C23" w:rsidRDefault="00F90C23" w:rsidP="002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5E66" w14:textId="75943688" w:rsidR="00036211" w:rsidRPr="00392211" w:rsidRDefault="007A3BE3" w:rsidP="001407D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FCF32B" wp14:editId="11EAF75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6848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D04F" w14:textId="519CCB2C" w:rsidR="001407DF" w:rsidRDefault="00DD57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B4783CE" wp14:editId="2FECFBDD">
          <wp:simplePos x="0" y="0"/>
          <wp:positionH relativeFrom="page">
            <wp:align>left</wp:align>
          </wp:positionH>
          <wp:positionV relativeFrom="page">
            <wp:posOffset>121920</wp:posOffset>
          </wp:positionV>
          <wp:extent cx="7559040" cy="10569166"/>
          <wp:effectExtent l="0" t="0" r="381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569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47"/>
    <w:multiLevelType w:val="multilevel"/>
    <w:tmpl w:val="8BE8A8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5C8"/>
    <w:multiLevelType w:val="hybridMultilevel"/>
    <w:tmpl w:val="DAE2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33B"/>
    <w:multiLevelType w:val="hybridMultilevel"/>
    <w:tmpl w:val="BF24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38C"/>
    <w:multiLevelType w:val="hybridMultilevel"/>
    <w:tmpl w:val="826C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6D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6438AA"/>
    <w:multiLevelType w:val="hybridMultilevel"/>
    <w:tmpl w:val="383E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2A7F"/>
    <w:multiLevelType w:val="hybridMultilevel"/>
    <w:tmpl w:val="FE38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1EFD"/>
    <w:multiLevelType w:val="multilevel"/>
    <w:tmpl w:val="426A3B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3526"/>
    <w:multiLevelType w:val="hybridMultilevel"/>
    <w:tmpl w:val="D0DAEDAC"/>
    <w:lvl w:ilvl="0" w:tplc="9C841082">
      <w:start w:val="1"/>
      <w:numFmt w:val="bullet"/>
      <w:pStyle w:val="ListParagraph"/>
      <w:lvlText w:val=""/>
      <w:lvlJc w:val="left"/>
      <w:pPr>
        <w:ind w:left="283" w:hanging="283"/>
      </w:pPr>
      <w:rPr>
        <w:rFonts w:ascii="Symbol" w:hAnsi="Symbol" w:hint="default"/>
        <w:color w:val="005EB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idTable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71"/>
    <w:rsid w:val="00016219"/>
    <w:rsid w:val="00036211"/>
    <w:rsid w:val="00040971"/>
    <w:rsid w:val="00046DC3"/>
    <w:rsid w:val="000558F2"/>
    <w:rsid w:val="000A6645"/>
    <w:rsid w:val="000B5C37"/>
    <w:rsid w:val="000B6223"/>
    <w:rsid w:val="000F0AFD"/>
    <w:rsid w:val="000F6067"/>
    <w:rsid w:val="000F7FB0"/>
    <w:rsid w:val="00132AD7"/>
    <w:rsid w:val="001407DF"/>
    <w:rsid w:val="00255A71"/>
    <w:rsid w:val="00294C57"/>
    <w:rsid w:val="002E68C6"/>
    <w:rsid w:val="00316956"/>
    <w:rsid w:val="00361D6C"/>
    <w:rsid w:val="003716D7"/>
    <w:rsid w:val="00384268"/>
    <w:rsid w:val="00392211"/>
    <w:rsid w:val="003928F5"/>
    <w:rsid w:val="003A75BE"/>
    <w:rsid w:val="00401F79"/>
    <w:rsid w:val="0044544A"/>
    <w:rsid w:val="00461F27"/>
    <w:rsid w:val="00464A9B"/>
    <w:rsid w:val="00473FFB"/>
    <w:rsid w:val="004A36E4"/>
    <w:rsid w:val="004B4C0B"/>
    <w:rsid w:val="004E42D9"/>
    <w:rsid w:val="004F1057"/>
    <w:rsid w:val="004F5BC5"/>
    <w:rsid w:val="00506CC0"/>
    <w:rsid w:val="0050713A"/>
    <w:rsid w:val="00516423"/>
    <w:rsid w:val="00580EE6"/>
    <w:rsid w:val="005E277B"/>
    <w:rsid w:val="00604E05"/>
    <w:rsid w:val="00612540"/>
    <w:rsid w:val="006158A9"/>
    <w:rsid w:val="006315F8"/>
    <w:rsid w:val="006420C9"/>
    <w:rsid w:val="00671349"/>
    <w:rsid w:val="00696BEC"/>
    <w:rsid w:val="006C738C"/>
    <w:rsid w:val="00701E82"/>
    <w:rsid w:val="00761FF8"/>
    <w:rsid w:val="007908B1"/>
    <w:rsid w:val="007A3BE3"/>
    <w:rsid w:val="007F7F4C"/>
    <w:rsid w:val="008045BA"/>
    <w:rsid w:val="00867596"/>
    <w:rsid w:val="008933C5"/>
    <w:rsid w:val="00894488"/>
    <w:rsid w:val="008A041A"/>
    <w:rsid w:val="008A42D8"/>
    <w:rsid w:val="008B1369"/>
    <w:rsid w:val="008C3D54"/>
    <w:rsid w:val="008D3D13"/>
    <w:rsid w:val="008E02EC"/>
    <w:rsid w:val="008E13CF"/>
    <w:rsid w:val="008E7E6D"/>
    <w:rsid w:val="00915DB5"/>
    <w:rsid w:val="00963D44"/>
    <w:rsid w:val="00992B4A"/>
    <w:rsid w:val="009B30D9"/>
    <w:rsid w:val="00A173A1"/>
    <w:rsid w:val="00A4027B"/>
    <w:rsid w:val="00A730A4"/>
    <w:rsid w:val="00AD7CB4"/>
    <w:rsid w:val="00AE7CB8"/>
    <w:rsid w:val="00AF0B9E"/>
    <w:rsid w:val="00AF4396"/>
    <w:rsid w:val="00B15FAF"/>
    <w:rsid w:val="00B252A8"/>
    <w:rsid w:val="00B26209"/>
    <w:rsid w:val="00B340A0"/>
    <w:rsid w:val="00BA4024"/>
    <w:rsid w:val="00BC4851"/>
    <w:rsid w:val="00BE0227"/>
    <w:rsid w:val="00BE2CEA"/>
    <w:rsid w:val="00BE5DCE"/>
    <w:rsid w:val="00C11EEA"/>
    <w:rsid w:val="00C36287"/>
    <w:rsid w:val="00C362A9"/>
    <w:rsid w:val="00CD5A8B"/>
    <w:rsid w:val="00CE6660"/>
    <w:rsid w:val="00CF55E0"/>
    <w:rsid w:val="00D43A6D"/>
    <w:rsid w:val="00D96E19"/>
    <w:rsid w:val="00DD573D"/>
    <w:rsid w:val="00E0120F"/>
    <w:rsid w:val="00E042FB"/>
    <w:rsid w:val="00E04587"/>
    <w:rsid w:val="00E35BA7"/>
    <w:rsid w:val="00E5035A"/>
    <w:rsid w:val="00E6701F"/>
    <w:rsid w:val="00E926B1"/>
    <w:rsid w:val="00EA3ACC"/>
    <w:rsid w:val="00EE6A4F"/>
    <w:rsid w:val="00F35B0E"/>
    <w:rsid w:val="00F66146"/>
    <w:rsid w:val="00F83342"/>
    <w:rsid w:val="00F90C23"/>
    <w:rsid w:val="00FB40B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F91CA5"/>
  <w15:chartTrackingRefBased/>
  <w15:docId w15:val="{9FCA0629-B1CC-D34B-BD65-7E80A60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C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DB5"/>
    <w:pPr>
      <w:keepNext/>
      <w:keepLines/>
      <w:spacing w:before="120" w:after="120"/>
      <w:outlineLvl w:val="0"/>
    </w:pPr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DB5"/>
    <w:pPr>
      <w:keepNext/>
      <w:keepLines/>
      <w:spacing w:before="120" w:after="120"/>
      <w:outlineLvl w:val="1"/>
    </w:pPr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DB5"/>
    <w:pPr>
      <w:keepNext/>
      <w:keepLines/>
      <w:spacing w:before="120"/>
      <w:outlineLvl w:val="2"/>
    </w:pPr>
    <w:rPr>
      <w:rFonts w:ascii="Arial Bold" w:eastAsiaTheme="majorEastAsia" w:hAnsi="Arial Bold" w:cstheme="majorBidi"/>
      <w:b/>
      <w:kern w:val="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42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131B27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71"/>
  </w:style>
  <w:style w:type="paragraph" w:styleId="Footer">
    <w:name w:val="footer"/>
    <w:basedOn w:val="Normal"/>
    <w:link w:val="Foot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71"/>
  </w:style>
  <w:style w:type="paragraph" w:styleId="NoSpacing">
    <w:name w:val="No Spacing"/>
    <w:link w:val="NoSpacingChar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92211"/>
  </w:style>
  <w:style w:type="character" w:customStyle="1" w:styleId="Heading1Char">
    <w:name w:val="Heading 1 Char"/>
    <w:basedOn w:val="DefaultParagraphFont"/>
    <w:link w:val="Heading1"/>
    <w:uiPriority w:val="9"/>
    <w:rsid w:val="00915DB5"/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5DB5"/>
    <w:pPr>
      <w:contextualSpacing/>
    </w:pPr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DB5"/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5DB5"/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DB5"/>
    <w:rPr>
      <w:rFonts w:ascii="Arial Bold" w:eastAsiaTheme="majorEastAsia" w:hAnsi="Arial Bold" w:cstheme="majorBidi"/>
      <w:b/>
      <w:kern w:val="28"/>
    </w:rPr>
  </w:style>
  <w:style w:type="paragraph" w:styleId="TOCHeading">
    <w:name w:val="TOC Heading"/>
    <w:basedOn w:val="Heading1"/>
    <w:next w:val="Normal"/>
    <w:uiPriority w:val="39"/>
    <w:unhideWhenUsed/>
    <w:rsid w:val="00AE7CB8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7CB8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7CB8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CB8"/>
    <w:rPr>
      <w:color w:val="005EB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E7CB8"/>
    <w:pPr>
      <w:spacing w:before="120"/>
    </w:pPr>
    <w:rPr>
      <w:rFonts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7CB8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7CB8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7CB8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7CB8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7CB8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7CB8"/>
    <w:pPr>
      <w:ind w:left="1920"/>
    </w:pPr>
    <w:rPr>
      <w:rFonts w:cstheme="minorHAns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E7CB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" w:hAnsi="Frutiger" w:cs="Frutiger"/>
      <w:color w:val="000000"/>
      <w:szCs w:val="22"/>
    </w:rPr>
  </w:style>
  <w:style w:type="table" w:styleId="TableGrid">
    <w:name w:val="Table Grid"/>
    <w:basedOn w:val="TableNormal"/>
    <w:uiPriority w:val="39"/>
    <w:rsid w:val="00AE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F5BC5"/>
    <w:rPr>
      <w:sz w:val="22"/>
    </w:rPr>
    <w:tblPr>
      <w:tblBorders>
        <w:top w:val="single" w:sz="4" w:space="0" w:color="005EB8"/>
        <w:left w:val="single" w:sz="4" w:space="0" w:color="005EB8"/>
        <w:bottom w:val="single" w:sz="4" w:space="0" w:color="005EB8"/>
        <w:right w:val="single" w:sz="4" w:space="0" w:color="005EB8"/>
        <w:insideH w:val="single" w:sz="4" w:space="0" w:color="005EB8"/>
        <w:insideV w:val="single" w:sz="4" w:space="0" w:color="005EB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005EB8"/>
      </w:tcPr>
    </w:tblStylePr>
    <w:tblStylePr w:type="lastRow">
      <w:rPr>
        <w:b/>
        <w:bCs/>
      </w:rPr>
      <w:tblPr/>
      <w:tcPr>
        <w:tcBorders>
          <w:top w:val="double" w:sz="4" w:space="0" w:color="41556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045BA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A42D8"/>
    <w:rPr>
      <w:rFonts w:asciiTheme="majorHAnsi" w:eastAsiaTheme="majorEastAsia" w:hAnsiTheme="majorHAnsi" w:cstheme="majorBidi"/>
      <w:iCs/>
      <w:color w:val="131B27" w:themeColor="text2" w:themeShade="8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DB5"/>
    <w:pPr>
      <w:numPr>
        <w:ilvl w:val="1"/>
      </w:numPr>
    </w:pPr>
    <w:rPr>
      <w:rFonts w:ascii="Arial Bold" w:eastAsiaTheme="minorEastAsia" w:hAnsi="Arial Bold"/>
      <w:b/>
      <w:kern w:val="32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5DB5"/>
    <w:rPr>
      <w:rFonts w:ascii="Arial Bold" w:eastAsiaTheme="minorEastAsia" w:hAnsi="Arial Bold"/>
      <w:b/>
      <w:kern w:val="32"/>
      <w:szCs w:val="22"/>
    </w:rPr>
  </w:style>
  <w:style w:type="character" w:styleId="SubtleEmphasis">
    <w:name w:val="Subtle Emphasis"/>
    <w:basedOn w:val="DefaultParagraphFont"/>
    <w:uiPriority w:val="19"/>
    <w:rsid w:val="008045BA"/>
    <w:rPr>
      <w:i/>
      <w:iCs/>
      <w:color w:val="005EB8"/>
    </w:rPr>
  </w:style>
  <w:style w:type="character" w:styleId="IntenseEmphasis">
    <w:name w:val="Intense Emphasis"/>
    <w:basedOn w:val="DefaultParagraphFont"/>
    <w:uiPriority w:val="21"/>
    <w:rsid w:val="002E68C6"/>
    <w:rPr>
      <w:i w:val="0"/>
      <w:iCs/>
      <w:color w:val="202A31" w:themeColor="text1" w:themeShade="80"/>
    </w:rPr>
  </w:style>
  <w:style w:type="character" w:styleId="Strong">
    <w:name w:val="Strong"/>
    <w:aliases w:val="Cover title"/>
    <w:basedOn w:val="DefaultParagraphFont"/>
    <w:uiPriority w:val="22"/>
    <w:rsid w:val="008045BA"/>
    <w:rPr>
      <w:b/>
      <w:bCs/>
      <w:color w:val="005EB8"/>
    </w:rPr>
  </w:style>
  <w:style w:type="paragraph" w:styleId="Quote">
    <w:name w:val="Quote"/>
    <w:basedOn w:val="Normal"/>
    <w:next w:val="Normal"/>
    <w:link w:val="QuoteChar"/>
    <w:uiPriority w:val="29"/>
    <w:rsid w:val="008045BA"/>
    <w:pPr>
      <w:spacing w:before="200" w:after="160"/>
      <w:ind w:left="864" w:right="864"/>
      <w:jc w:val="center"/>
    </w:pPr>
    <w:rPr>
      <w:i/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8045BA"/>
    <w:rPr>
      <w:i/>
      <w:iCs/>
      <w:color w:val="005EB8"/>
      <w:sz w:val="22"/>
    </w:rPr>
  </w:style>
  <w:style w:type="paragraph" w:styleId="IntenseQuote">
    <w:name w:val="Intense Quote"/>
    <w:aliases w:val="Cover titles"/>
    <w:basedOn w:val="Normal"/>
    <w:next w:val="Normal"/>
    <w:link w:val="IntenseQuoteChar"/>
    <w:uiPriority w:val="30"/>
    <w:rsid w:val="00992B4A"/>
    <w:pPr>
      <w:pBdr>
        <w:bottom w:val="single" w:sz="4" w:space="10" w:color="005EB8"/>
      </w:pBdr>
      <w:spacing w:before="360"/>
    </w:pPr>
    <w:rPr>
      <w:rFonts w:cs="Times New Roman (Body CS)"/>
      <w:b/>
      <w:iCs/>
      <w:color w:val="005EB8"/>
      <w:spacing w:val="-6"/>
      <w:sz w:val="72"/>
    </w:rPr>
  </w:style>
  <w:style w:type="character" w:customStyle="1" w:styleId="IntenseQuoteChar">
    <w:name w:val="Intense Quote Char"/>
    <w:aliases w:val="Cover titles Char"/>
    <w:basedOn w:val="DefaultParagraphFont"/>
    <w:link w:val="IntenseQuote"/>
    <w:uiPriority w:val="30"/>
    <w:rsid w:val="00992B4A"/>
    <w:rPr>
      <w:rFonts w:cs="Times New Roman (Body CS)"/>
      <w:b/>
      <w:iCs/>
      <w:color w:val="005EB8"/>
      <w:spacing w:val="-6"/>
      <w:sz w:val="72"/>
    </w:rPr>
  </w:style>
  <w:style w:type="character" w:styleId="SubtleReference">
    <w:name w:val="Subtle Reference"/>
    <w:basedOn w:val="DefaultParagraphFont"/>
    <w:uiPriority w:val="31"/>
    <w:rsid w:val="008045BA"/>
    <w:rPr>
      <w:smallCaps/>
      <w:color w:val="005EB8"/>
    </w:rPr>
  </w:style>
  <w:style w:type="character" w:styleId="IntenseReference">
    <w:name w:val="Intense Reference"/>
    <w:basedOn w:val="DefaultParagraphFont"/>
    <w:uiPriority w:val="32"/>
    <w:rsid w:val="008045BA"/>
    <w:rPr>
      <w:b/>
      <w:bCs/>
      <w:smallCaps/>
      <w:color w:val="005EB8"/>
      <w:spacing w:val="5"/>
    </w:rPr>
  </w:style>
  <w:style w:type="character" w:styleId="BookTitle">
    <w:name w:val="Book Title"/>
    <w:basedOn w:val="DefaultParagraphFont"/>
    <w:uiPriority w:val="33"/>
    <w:rsid w:val="008045BA"/>
    <w:rPr>
      <w:b/>
      <w:bCs/>
      <w:i/>
      <w:iCs/>
      <w:color w:val="005EB8"/>
      <w:spacing w:val="5"/>
    </w:rPr>
  </w:style>
  <w:style w:type="table" w:styleId="GridTable4-Accent1">
    <w:name w:val="Grid Table 4 Accent 1"/>
    <w:basedOn w:val="TableNormal"/>
    <w:uiPriority w:val="49"/>
    <w:rsid w:val="0044544A"/>
    <w:tblPr>
      <w:tblStyleRowBandSize w:val="1"/>
      <w:tblStyleColBandSize w:val="1"/>
      <w:tblBorders>
        <w:top w:val="single" w:sz="4" w:space="0" w:color="F1977B" w:themeColor="accent1" w:themeTint="99"/>
        <w:left w:val="single" w:sz="4" w:space="0" w:color="F1977B" w:themeColor="accent1" w:themeTint="99"/>
        <w:bottom w:val="single" w:sz="4" w:space="0" w:color="F1977B" w:themeColor="accent1" w:themeTint="99"/>
        <w:right w:val="single" w:sz="4" w:space="0" w:color="F1977B" w:themeColor="accent1" w:themeTint="99"/>
        <w:insideH w:val="single" w:sz="4" w:space="0" w:color="F1977B" w:themeColor="accent1" w:themeTint="99"/>
        <w:insideV w:val="single" w:sz="4" w:space="0" w:color="F197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5324" w:themeColor="accent1"/>
          <w:left w:val="single" w:sz="4" w:space="0" w:color="E95324" w:themeColor="accent1"/>
          <w:bottom w:val="single" w:sz="4" w:space="0" w:color="E95324" w:themeColor="accent1"/>
          <w:right w:val="single" w:sz="4" w:space="0" w:color="E95324" w:themeColor="accent1"/>
          <w:insideH w:val="nil"/>
          <w:insideV w:val="nil"/>
        </w:tcBorders>
        <w:shd w:val="clear" w:color="auto" w:fill="E95324" w:themeFill="accent1"/>
      </w:tcPr>
    </w:tblStylePr>
    <w:tblStylePr w:type="lastRow">
      <w:rPr>
        <w:b/>
        <w:bCs/>
      </w:rPr>
      <w:tblPr/>
      <w:tcPr>
        <w:tcBorders>
          <w:top w:val="double" w:sz="4" w:space="0" w:color="E953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3" w:themeFill="accent1" w:themeFillTint="33"/>
      </w:tcPr>
    </w:tblStylePr>
    <w:tblStylePr w:type="band1Horz">
      <w:tblPr/>
      <w:tcPr>
        <w:shd w:val="clear" w:color="auto" w:fill="FADC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5563"/>
      </a:dk1>
      <a:lt1>
        <a:srgbClr val="FFFFFF"/>
      </a:lt1>
      <a:dk2>
        <a:srgbClr val="26364F"/>
      </a:dk2>
      <a:lt2>
        <a:srgbClr val="FFFFFF"/>
      </a:lt2>
      <a:accent1>
        <a:srgbClr val="E95324"/>
      </a:accent1>
      <a:accent2>
        <a:srgbClr val="00A399"/>
      </a:accent2>
      <a:accent3>
        <a:srgbClr val="FFB81C"/>
      </a:accent3>
      <a:accent4>
        <a:srgbClr val="AE2473"/>
      </a:accent4>
      <a:accent5>
        <a:srgbClr val="5B9BD5"/>
      </a:accent5>
      <a:accent6>
        <a:srgbClr val="768692"/>
      </a:accent6>
      <a:hlink>
        <a:srgbClr val="005EB8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45A78-1F46-48FF-96B2-992F154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BAKER, Denise (NHS NORTH EAST LONDON CCG)</cp:lastModifiedBy>
  <cp:revision>3</cp:revision>
  <dcterms:created xsi:type="dcterms:W3CDTF">2021-06-23T10:56:00Z</dcterms:created>
  <dcterms:modified xsi:type="dcterms:W3CDTF">2021-06-23T10:58:00Z</dcterms:modified>
</cp:coreProperties>
</file>